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A" w:rsidRPr="00975D1A" w:rsidRDefault="00975D1A" w:rsidP="00975D1A">
      <w:pPr>
        <w:ind w:left="284" w:right="-545"/>
        <w:jc w:val="center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>Тематичний контроль № ____</w:t>
      </w:r>
    </w:p>
    <w:p w:rsidR="00975D1A" w:rsidRPr="00975D1A" w:rsidRDefault="00975D1A" w:rsidP="00975D1A">
      <w:pPr>
        <w:ind w:left="284" w:right="-545"/>
        <w:jc w:val="center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>з навчальної дисципліни « Іноземна мова спеціальності»</w:t>
      </w: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 xml:space="preserve">(_4__курс,__ </w:t>
      </w:r>
      <w:proofErr w:type="spellStart"/>
      <w:r w:rsidRPr="00975D1A">
        <w:rPr>
          <w:rFonts w:asciiTheme="majorHAnsi" w:hAnsiTheme="majorHAnsi"/>
          <w:b/>
          <w:lang w:val="uk-UA"/>
        </w:rPr>
        <w:t>___семестр</w:t>
      </w:r>
      <w:proofErr w:type="spellEnd"/>
      <w:r w:rsidRPr="00975D1A">
        <w:rPr>
          <w:rFonts w:asciiTheme="majorHAnsi" w:hAnsiTheme="majorHAnsi"/>
          <w:b/>
          <w:lang w:val="uk-UA"/>
        </w:rPr>
        <w:t>)</w:t>
      </w: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>здобувача вищої освіти групи_____________</w:t>
      </w: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>________________________________________________</w:t>
      </w: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>Перевірив________________________________</w:t>
      </w: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>Ознайомлений(а)__________________________</w:t>
      </w: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975D1A" w:rsidRPr="00975D1A" w:rsidRDefault="00975D1A" w:rsidP="00975D1A">
      <w:pPr>
        <w:ind w:left="284"/>
        <w:jc w:val="both"/>
        <w:rPr>
          <w:rFonts w:asciiTheme="majorHAnsi" w:hAnsiTheme="majorHAnsi"/>
          <w:b/>
          <w:lang w:val="uk-UA"/>
        </w:rPr>
      </w:pPr>
      <w:r w:rsidRPr="00975D1A">
        <w:rPr>
          <w:rFonts w:asciiTheme="majorHAnsi" w:hAnsiTheme="majorHAnsi"/>
          <w:b/>
          <w:lang w:val="uk-UA"/>
        </w:rPr>
        <w:t>Перекладіть англійською.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 xml:space="preserve">На відміну від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звичайних акцій,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дивіденди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на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привілейовані акції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встановлюються за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фіксованою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ставкою. Усі дивіденди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 xml:space="preserve">накопичуються 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та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підлягають виплаті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до виплати дивідендів за звичайними акціями.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>У Великій Британії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 xml:space="preserve"> привілейовані акціонери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зазвичай не мають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права переважної покупки</w:t>
      </w:r>
      <w:r w:rsidRPr="00975D1A">
        <w:rPr>
          <w:rFonts w:asciiTheme="majorHAnsi" w:hAnsiTheme="majorHAnsi"/>
          <w:sz w:val="24"/>
          <w:szCs w:val="24"/>
          <w:lang w:val="uk-UA"/>
        </w:rPr>
        <w:t>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Статут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компанії був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 xml:space="preserve">поданий 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до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Реєстраційного Бюро</w:t>
      </w:r>
      <w:r w:rsidRPr="00975D1A">
        <w:rPr>
          <w:rFonts w:asciiTheme="majorHAnsi" w:hAnsiTheme="majorHAnsi"/>
          <w:sz w:val="24"/>
          <w:szCs w:val="24"/>
          <w:lang w:val="uk-UA"/>
        </w:rPr>
        <w:t>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 xml:space="preserve">Компанія повинна провести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обов’язкову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фінансову експертизу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перед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придбанням</w:t>
      </w:r>
      <w:r w:rsidRPr="00975D1A">
        <w:rPr>
          <w:rFonts w:asciiTheme="majorHAnsi" w:hAnsiTheme="majorHAnsi"/>
          <w:sz w:val="24"/>
          <w:szCs w:val="24"/>
          <w:lang w:val="uk-UA"/>
        </w:rPr>
        <w:t>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Доповідь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директорів та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бухгалтерська звітність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ухвалюються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на щорічних зборах акціонерів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 xml:space="preserve">Я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твердо переконаний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, що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конкуренція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на ринку є вигідною для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споживачів</w:t>
      </w:r>
      <w:r w:rsidRPr="00975D1A">
        <w:rPr>
          <w:rFonts w:asciiTheme="majorHAnsi" w:hAnsiTheme="majorHAnsi"/>
          <w:sz w:val="24"/>
          <w:szCs w:val="24"/>
          <w:lang w:val="uk-UA"/>
        </w:rPr>
        <w:t>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 xml:space="preserve">Суд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відхилив позов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, тобто вирішив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не приймати до розгляду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цю справу.</w:t>
      </w:r>
    </w:p>
    <w:p w:rsidR="00975D1A" w:rsidRPr="00975D1A" w:rsidRDefault="00975D1A" w:rsidP="00975D1A">
      <w:pPr>
        <w:pStyle w:val="a4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 xml:space="preserve">Акціонери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були не задоволені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призначенням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наглядової ради</w:t>
      </w:r>
      <w:r w:rsidRPr="00975D1A">
        <w:rPr>
          <w:rFonts w:asciiTheme="majorHAnsi" w:hAnsiTheme="majorHAnsi"/>
          <w:sz w:val="24"/>
          <w:szCs w:val="24"/>
          <w:lang w:val="uk-UA"/>
        </w:rPr>
        <w:t>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Європейський економічний простір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вступив в силу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в 1994 році і потребував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прийняття багатьох законів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та внесення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поправок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у існуючі.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>В результаті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 xml:space="preserve"> злиття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або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поглинання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контрольний пакет акцій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акціонерного товариства переходить до нового власника або відбувається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об’єднання активів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декількох компаній.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975D1A">
        <w:rPr>
          <w:rFonts w:asciiTheme="majorHAnsi" w:hAnsiTheme="majorHAnsi"/>
          <w:sz w:val="24"/>
          <w:szCs w:val="24"/>
          <w:lang w:val="uk-UA"/>
        </w:rPr>
        <w:t xml:space="preserve">Ви маєте дотримуватися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зобов’язань за контрактом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, інакше Ви будете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нести відповідальність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перед своїми партнерами та </w:t>
      </w:r>
      <w:r w:rsidRPr="00975D1A">
        <w:rPr>
          <w:rFonts w:asciiTheme="majorHAnsi" w:hAnsiTheme="majorHAnsi"/>
          <w:sz w:val="24"/>
          <w:szCs w:val="24"/>
          <w:u w:val="single"/>
          <w:lang w:val="uk-UA"/>
        </w:rPr>
        <w:t>компенсувати</w:t>
      </w:r>
      <w:r w:rsidRPr="00975D1A">
        <w:rPr>
          <w:rFonts w:asciiTheme="majorHAnsi" w:hAnsiTheme="majorHAnsi"/>
          <w:sz w:val="24"/>
          <w:szCs w:val="24"/>
          <w:lang w:val="uk-UA"/>
        </w:rPr>
        <w:t xml:space="preserve"> їх збитки.</w:t>
      </w:r>
    </w:p>
    <w:p w:rsidR="00975D1A" w:rsidRPr="00975D1A" w:rsidRDefault="00975D1A" w:rsidP="00975D1A">
      <w:pPr>
        <w:pStyle w:val="a3"/>
        <w:numPr>
          <w:ilvl w:val="0"/>
          <w:numId w:val="1"/>
        </w:numPr>
        <w:tabs>
          <w:tab w:val="left" w:pos="426"/>
        </w:tabs>
        <w:spacing w:line="264" w:lineRule="auto"/>
        <w:jc w:val="both"/>
        <w:rPr>
          <w:rFonts w:asciiTheme="majorHAnsi" w:hAnsiTheme="majorHAnsi"/>
          <w:bCs/>
          <w:sz w:val="24"/>
          <w:szCs w:val="24"/>
          <w:lang w:val="uk-UA"/>
        </w:rPr>
      </w:pPr>
      <w:r w:rsidRPr="00975D1A">
        <w:rPr>
          <w:rFonts w:asciiTheme="majorHAnsi" w:hAnsiTheme="majorHAnsi"/>
          <w:bCs/>
          <w:sz w:val="24"/>
          <w:szCs w:val="24"/>
          <w:lang w:val="uk-UA"/>
        </w:rPr>
        <w:t xml:space="preserve">На зборах були обговорені можливі форми реорганізації компанії, такі як </w:t>
      </w:r>
      <w:r w:rsidRPr="00975D1A">
        <w:rPr>
          <w:rFonts w:asciiTheme="majorHAnsi" w:hAnsiTheme="majorHAnsi"/>
          <w:bCs/>
          <w:sz w:val="24"/>
          <w:szCs w:val="24"/>
          <w:u w:val="single"/>
          <w:lang w:val="uk-UA"/>
        </w:rPr>
        <w:t>утворення нової або дочірньої акціонерної компанії на основі частини активів існуючої компанії із подальшим розподіленням усіх її акцій між акціонерами материнської компанії</w:t>
      </w:r>
      <w:r w:rsidRPr="00975D1A">
        <w:rPr>
          <w:rFonts w:asciiTheme="majorHAnsi" w:hAnsiTheme="majorHAnsi"/>
          <w:bCs/>
          <w:sz w:val="24"/>
          <w:szCs w:val="24"/>
          <w:lang w:val="uk-UA"/>
        </w:rPr>
        <w:t xml:space="preserve">, </w:t>
      </w:r>
      <w:r w:rsidRPr="00975D1A">
        <w:rPr>
          <w:rFonts w:asciiTheme="majorHAnsi" w:hAnsiTheme="majorHAnsi"/>
          <w:bCs/>
          <w:sz w:val="24"/>
          <w:szCs w:val="24"/>
          <w:u w:val="single"/>
          <w:lang w:val="uk-UA"/>
        </w:rPr>
        <w:t>утворення нової акціонерної компанії, при якому частина акціонерів отримують частку в новій компанії замість своєї частки в материнській компанії у певному співвідношенні</w:t>
      </w:r>
      <w:r w:rsidRPr="00975D1A">
        <w:rPr>
          <w:rFonts w:asciiTheme="majorHAnsi" w:hAnsiTheme="majorHAnsi"/>
          <w:bCs/>
          <w:sz w:val="24"/>
          <w:szCs w:val="24"/>
          <w:lang w:val="uk-UA"/>
        </w:rPr>
        <w:t xml:space="preserve">, </w:t>
      </w:r>
      <w:r w:rsidRPr="00975D1A">
        <w:rPr>
          <w:rFonts w:asciiTheme="majorHAnsi" w:hAnsiTheme="majorHAnsi"/>
          <w:bCs/>
          <w:sz w:val="24"/>
          <w:szCs w:val="24"/>
          <w:u w:val="single"/>
          <w:lang w:val="uk-UA"/>
        </w:rPr>
        <w:t>поділ організації на дві, причому первісна компанія перетворюється на декілька незалежних юридичних осіб та перестає існувати</w:t>
      </w:r>
      <w:r w:rsidRPr="00975D1A">
        <w:rPr>
          <w:rFonts w:asciiTheme="majorHAnsi" w:hAnsiTheme="majorHAnsi"/>
          <w:bCs/>
          <w:sz w:val="24"/>
          <w:szCs w:val="24"/>
          <w:lang w:val="uk-UA"/>
        </w:rPr>
        <w:t>.</w:t>
      </w: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975D1A" w:rsidRPr="00975D1A" w:rsidRDefault="00975D1A" w:rsidP="00975D1A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411E51" w:rsidRPr="00975D1A" w:rsidRDefault="00411E51">
      <w:pPr>
        <w:rPr>
          <w:lang w:val="uk-UA"/>
        </w:rPr>
      </w:pPr>
    </w:p>
    <w:sectPr w:rsidR="00411E51" w:rsidRPr="00975D1A" w:rsidSect="004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4670"/>
    <w:multiLevelType w:val="hybridMultilevel"/>
    <w:tmpl w:val="FBEE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D1A"/>
    <w:rsid w:val="00411E51"/>
    <w:rsid w:val="005358E6"/>
    <w:rsid w:val="00536E76"/>
    <w:rsid w:val="00625493"/>
    <w:rsid w:val="0097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5D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2019-03-11T10:05:00Z</dcterms:created>
  <dcterms:modified xsi:type="dcterms:W3CDTF">2019-03-11T10:08:00Z</dcterms:modified>
</cp:coreProperties>
</file>