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FC6" w:themeColor="accent3" w:themeTint="66"/>
  <w:body>
    <w:p w:rsidR="00F01A99" w:rsidRPr="00F01A99" w:rsidRDefault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a6"/>
          <w:b/>
          <w:color w:val="A62705" w:themeColor="accent6" w:themeShade="80"/>
        </w:rPr>
      </w:pPr>
      <w:r w:rsidRPr="00F01A99">
        <w:rPr>
          <w:rStyle w:val="a6"/>
          <w:b/>
          <w:color w:val="A62705" w:themeColor="accent6" w:themeShade="80"/>
          <w:sz w:val="40"/>
        </w:rPr>
        <w:t xml:space="preserve">студентська </w:t>
      </w:r>
      <w:r w:rsidRPr="00F01A99">
        <w:rPr>
          <w:rStyle w:val="a6"/>
          <w:b/>
          <w:color w:val="A62705" w:themeColor="accent6" w:themeShade="80"/>
          <w:sz w:val="40"/>
          <w:lang w:val="en-US"/>
        </w:rPr>
        <w:t>o</w:t>
      </w:r>
      <w:r w:rsidRPr="00F01A99">
        <w:rPr>
          <w:rStyle w:val="a6"/>
          <w:b/>
          <w:color w:val="A62705" w:themeColor="accent6" w:themeShade="80"/>
          <w:sz w:val="40"/>
        </w:rPr>
        <w:t>n</w:t>
      </w:r>
      <w:r w:rsidRPr="00F01A99">
        <w:rPr>
          <w:rStyle w:val="a6"/>
          <w:b/>
          <w:color w:val="A62705" w:themeColor="accent6" w:themeShade="80"/>
          <w:sz w:val="40"/>
          <w:lang w:val="ru-RU"/>
        </w:rPr>
        <w:t>-</w:t>
      </w:r>
      <w:proofErr w:type="spellStart"/>
      <w:r w:rsidRPr="00F01A99">
        <w:rPr>
          <w:rStyle w:val="a6"/>
          <w:b/>
          <w:color w:val="A62705" w:themeColor="accent6" w:themeShade="80"/>
          <w:sz w:val="40"/>
        </w:rPr>
        <w:t>line</w:t>
      </w:r>
      <w:proofErr w:type="spellEnd"/>
      <w:r w:rsidRPr="00F01A99">
        <w:rPr>
          <w:rStyle w:val="a6"/>
          <w:b/>
          <w:color w:val="A62705" w:themeColor="accent6" w:themeShade="80"/>
          <w:sz w:val="40"/>
        </w:rPr>
        <w:t xml:space="preserve">-конференція “Сучасні тенденції у науці” </w:t>
      </w:r>
    </w:p>
    <w:p w:rsidR="00F01A99" w:rsidRPr="00F01A99" w:rsidRDefault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62705" w:themeColor="accent6" w:themeShade="80"/>
          <w:sz w:val="28"/>
          <w:szCs w:val="28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Запрошуємо студентів всіх ВНЗ України, що вивчають німецьку та французьку мови на немовних факультетах, взяти участь у науковій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line</w:t>
      </w:r>
      <w:proofErr w:type="spellEnd"/>
      <w:r>
        <w:rPr>
          <w:color w:val="000000"/>
          <w:sz w:val="28"/>
          <w:szCs w:val="28"/>
        </w:rPr>
        <w:t xml:space="preserve">-конференції, подаючи статтю іноземною мовою </w:t>
      </w:r>
      <w:r w:rsidRPr="00F01A99">
        <w:rPr>
          <w:b/>
          <w:color w:val="000000"/>
          <w:sz w:val="28"/>
          <w:szCs w:val="36"/>
        </w:rPr>
        <w:t>(у співавторстві з викладачем)</w:t>
      </w:r>
      <w:r w:rsidRPr="00F01A99">
        <w:rPr>
          <w:color w:val="000000"/>
          <w:sz w:val="22"/>
          <w:szCs w:val="28"/>
        </w:rPr>
        <w:t xml:space="preserve">. 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закінченню заходу видається </w:t>
      </w:r>
      <w:r w:rsidRPr="00F01A99">
        <w:rPr>
          <w:color w:val="000000"/>
          <w:sz w:val="28"/>
          <w:szCs w:val="28"/>
        </w:rPr>
        <w:t>електронний збірник наукових праць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01A99" w:rsidRPr="00F01A99" w:rsidRDefault="00F01A99" w:rsidP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 w:rsidRPr="00F01A99">
        <w:rPr>
          <w:rStyle w:val="a6"/>
          <w:b/>
          <w:color w:val="A62705" w:themeColor="accent6" w:themeShade="80"/>
          <w:sz w:val="40"/>
        </w:rPr>
        <w:t>строки прийому статей подовжено</w:t>
      </w:r>
    </w:p>
    <w:p w:rsidR="00F01A99" w:rsidRDefault="00F01A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40"/>
          <w:szCs w:val="40"/>
        </w:rPr>
        <w:t xml:space="preserve">Статті приймаються 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до </w:t>
      </w:r>
      <w:r w:rsidR="00F01A99" w:rsidRPr="00F01A99">
        <w:rPr>
          <w:b/>
          <w:color w:val="A62705" w:themeColor="accent6" w:themeShade="80"/>
          <w:sz w:val="44"/>
          <w:szCs w:val="40"/>
          <w:u w:val="single"/>
        </w:rPr>
        <w:t>1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0 </w:t>
      </w:r>
      <w:r w:rsidR="00F01A99" w:rsidRPr="00F01A99">
        <w:rPr>
          <w:b/>
          <w:color w:val="A62705" w:themeColor="accent6" w:themeShade="80"/>
          <w:sz w:val="44"/>
          <w:szCs w:val="40"/>
          <w:u w:val="single"/>
        </w:rPr>
        <w:t>лютого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 2021 р</w:t>
      </w:r>
      <w:r w:rsidRPr="00F01A99">
        <w:rPr>
          <w:b/>
          <w:color w:val="A62705" w:themeColor="accent6" w:themeShade="80"/>
          <w:sz w:val="36"/>
          <w:szCs w:val="40"/>
          <w:u w:val="single"/>
        </w:rPr>
        <w:t>.</w:t>
      </w:r>
      <w:r w:rsidRPr="00F01A99">
        <w:rPr>
          <w:b/>
          <w:color w:val="A62705" w:themeColor="accent6" w:themeShade="80"/>
          <w:sz w:val="36"/>
          <w:szCs w:val="40"/>
        </w:rPr>
        <w:t xml:space="preserve"> </w:t>
      </w:r>
      <w:r>
        <w:rPr>
          <w:b/>
          <w:color w:val="000000"/>
          <w:sz w:val="40"/>
          <w:szCs w:val="40"/>
        </w:rPr>
        <w:t>за e-</w:t>
      </w:r>
      <w:proofErr w:type="spellStart"/>
      <w:r>
        <w:rPr>
          <w:b/>
          <w:color w:val="000000"/>
          <w:sz w:val="40"/>
          <w:szCs w:val="40"/>
        </w:rPr>
        <w:t>mail</w:t>
      </w:r>
      <w:proofErr w:type="spellEnd"/>
      <w:r>
        <w:rPr>
          <w:b/>
          <w:color w:val="000000"/>
          <w:sz w:val="40"/>
          <w:szCs w:val="40"/>
        </w:rPr>
        <w:t xml:space="preserve">: </w:t>
      </w:r>
      <w:r w:rsidRPr="00F01A99">
        <w:rPr>
          <w:b/>
          <w:sz w:val="40"/>
          <w:szCs w:val="40"/>
        </w:rPr>
        <w:t>stpublish2020@gmail.com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44C62" w:rsidRDefault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line</w:t>
      </w:r>
      <w:proofErr w:type="spellEnd"/>
      <w:r>
        <w:rPr>
          <w:color w:val="000000"/>
          <w:sz w:val="28"/>
          <w:szCs w:val="28"/>
        </w:rPr>
        <w:t>-конференці</w:t>
      </w:r>
      <w:r>
        <w:rPr>
          <w:color w:val="000000"/>
          <w:sz w:val="28"/>
          <w:szCs w:val="28"/>
        </w:rPr>
        <w:t xml:space="preserve">я </w:t>
      </w:r>
      <w:r w:rsidR="00001961">
        <w:rPr>
          <w:color w:val="000000"/>
          <w:sz w:val="28"/>
          <w:szCs w:val="28"/>
        </w:rPr>
        <w:t>відбу</w:t>
      </w:r>
      <w:r>
        <w:rPr>
          <w:color w:val="000000"/>
          <w:sz w:val="28"/>
          <w:szCs w:val="28"/>
        </w:rPr>
        <w:t>ватиметься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з 25 березня по 26 квітня 202</w:t>
      </w:r>
      <w:r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р.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сайті ХНУ імені В.Н. Каразіна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Планується робота таких секцій: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природничі спеціальності (німецька мова)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природничі спеціальності (французька мова)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гуманітарні спеціальності (німецька мова)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гуманітарні спеціальності (французька мова)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Вимоги до оформлення статей:</w:t>
      </w:r>
    </w:p>
    <w:p w:rsidR="00244C62" w:rsidRDefault="0000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Прохання надсилати </w:t>
      </w:r>
      <w:r>
        <w:rPr>
          <w:b/>
          <w:color w:val="000000"/>
          <w:sz w:val="24"/>
          <w:szCs w:val="24"/>
          <w:u w:val="single"/>
        </w:rPr>
        <w:t>два файли:</w:t>
      </w:r>
    </w:p>
    <w:p w:rsidR="00244C62" w:rsidRDefault="0000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Файли підписуються іноземною мовою, </w:t>
      </w:r>
      <w:r>
        <w:rPr>
          <w:color w:val="000000"/>
          <w:sz w:val="24"/>
          <w:szCs w:val="24"/>
        </w:rPr>
        <w:t>за зразком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окремому файлі подаються відомості про автора: напр. </w:t>
      </w:r>
      <w:proofErr w:type="spellStart"/>
      <w:r>
        <w:rPr>
          <w:b/>
          <w:color w:val="000000"/>
          <w:sz w:val="24"/>
          <w:szCs w:val="24"/>
        </w:rPr>
        <w:t>Piskunov</w:t>
      </w:r>
      <w:proofErr w:type="spellEnd"/>
      <w:r>
        <w:rPr>
          <w:b/>
          <w:color w:val="000000"/>
          <w:sz w:val="24"/>
          <w:szCs w:val="24"/>
        </w:rPr>
        <w:t xml:space="preserve"> _vid.doc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tbl>
      <w:tblPr>
        <w:tblStyle w:val="a5"/>
        <w:tblW w:w="13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3402"/>
        <w:gridCol w:w="4229"/>
        <w:gridCol w:w="2902"/>
      </w:tblGrid>
      <w:tr w:rsidR="00244C62">
        <w:trPr>
          <w:jc w:val="center"/>
        </w:trPr>
        <w:tc>
          <w:tcPr>
            <w:tcW w:w="2816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Секція №</w:t>
            </w:r>
          </w:p>
        </w:tc>
        <w:tc>
          <w:tcPr>
            <w:tcW w:w="3402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 (студента/</w:t>
            </w: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 (викладача)</w:t>
            </w:r>
          </w:p>
        </w:tc>
        <w:tc>
          <w:tcPr>
            <w:tcW w:w="4229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ВНЗ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01A99">
              <w:rPr>
                <w:color w:val="000000"/>
                <w:sz w:val="24"/>
                <w:szCs w:val="24"/>
              </w:rPr>
              <w:t>(ф-т, курс)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електронна адреса кафедри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ВНЗ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01A99">
              <w:rPr>
                <w:b/>
                <w:color w:val="000000"/>
                <w:sz w:val="24"/>
                <w:szCs w:val="24"/>
              </w:rPr>
              <w:t xml:space="preserve">(крім ХНУ </w:t>
            </w:r>
            <w:proofErr w:type="spellStart"/>
            <w:r w:rsidRPr="00F01A99">
              <w:rPr>
                <w:b/>
                <w:color w:val="000000"/>
                <w:sz w:val="24"/>
                <w:szCs w:val="24"/>
              </w:rPr>
              <w:t>ім.Каразіна</w:t>
            </w:r>
            <w:proofErr w:type="spellEnd"/>
            <w:r w:rsidRPr="00F01A9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244C62">
        <w:trPr>
          <w:jc w:val="center"/>
        </w:trPr>
        <w:tc>
          <w:tcPr>
            <w:tcW w:w="2816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color w:val="000000"/>
                <w:sz w:val="28"/>
                <w:szCs w:val="28"/>
              </w:rPr>
              <w:t>Піскунов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І.С. Руднєва </w:t>
            </w:r>
          </w:p>
        </w:tc>
        <w:tc>
          <w:tcPr>
            <w:tcW w:w="4229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ХНУ ім. Каразіна</w:t>
            </w:r>
          </w:p>
          <w:p w:rsidR="004F1A1A" w:rsidRPr="004F1A1A" w:rsidRDefault="004F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color w:val="000000"/>
                <w:sz w:val="28"/>
                <w:szCs w:val="28"/>
              </w:rPr>
              <w:t>Хімічний факультет, 1 курс)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4C62" w:rsidRDefault="0000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</w:t>
      </w:r>
      <w:r>
        <w:rPr>
          <w:color w:val="000000"/>
          <w:sz w:val="24"/>
          <w:szCs w:val="24"/>
        </w:rPr>
        <w:t xml:space="preserve">й файл - стаття: напр. </w:t>
      </w:r>
      <w:r>
        <w:rPr>
          <w:b/>
          <w:color w:val="000000"/>
          <w:sz w:val="24"/>
          <w:szCs w:val="24"/>
        </w:rPr>
        <w:t>Piskunov.doc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Приймаються статті обсягом 3-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сторінок формату А4, ілюстрації та таблиці включно, що підготовлені у форматі MS Word у вигляді комп’ютерного файлу  з розширенням *.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  або  *.</w:t>
      </w:r>
      <w:proofErr w:type="spellStart"/>
      <w:r>
        <w:rPr>
          <w:color w:val="000000"/>
          <w:sz w:val="24"/>
          <w:szCs w:val="24"/>
        </w:rPr>
        <w:t>rtf</w:t>
      </w:r>
      <w:proofErr w:type="spellEnd"/>
      <w:r>
        <w:rPr>
          <w:color w:val="000000"/>
          <w:sz w:val="24"/>
          <w:szCs w:val="24"/>
        </w:rPr>
        <w:t xml:space="preserve">  у шаблоні Normal.dot  (інші шаблони не допускаються). 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*Номер секції вказується у правому верхньому куті доповіді.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*В центрі прізвище та ініціали авторів набираються шрифтом </w:t>
      </w:r>
      <w:proofErr w:type="spellStart"/>
      <w:r>
        <w:rPr>
          <w:b/>
          <w:color w:val="000000"/>
          <w:sz w:val="24"/>
          <w:szCs w:val="24"/>
        </w:rPr>
        <w:t>Times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New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Roman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жирний.</w:t>
      </w:r>
      <w:r>
        <w:rPr>
          <w:color w:val="000000"/>
          <w:sz w:val="24"/>
          <w:szCs w:val="24"/>
        </w:rPr>
        <w:t xml:space="preserve"> 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*Місце навчання набирається шрифтом </w:t>
      </w:r>
      <w:proofErr w:type="spellStart"/>
      <w:r>
        <w:rPr>
          <w:b/>
          <w:color w:val="000000"/>
          <w:sz w:val="24"/>
          <w:szCs w:val="24"/>
        </w:rPr>
        <w:t>Times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New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Roman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курсив з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*Назва доповіді набирається шрифтом </w:t>
      </w:r>
      <w:proofErr w:type="spellStart"/>
      <w:r>
        <w:rPr>
          <w:b/>
          <w:color w:val="000000"/>
          <w:sz w:val="24"/>
          <w:szCs w:val="24"/>
        </w:rPr>
        <w:t>Times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New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Roman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жирний.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*Текст доповіді набирається шрифтом </w:t>
      </w:r>
      <w:proofErr w:type="spellStart"/>
      <w:r>
        <w:rPr>
          <w:b/>
          <w:color w:val="000000"/>
          <w:sz w:val="24"/>
          <w:szCs w:val="24"/>
        </w:rPr>
        <w:t>Times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New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Roman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*Міжрядковий інтервал тексту – </w:t>
      </w:r>
      <w:r>
        <w:rPr>
          <w:b/>
          <w:color w:val="000000"/>
          <w:sz w:val="24"/>
          <w:szCs w:val="24"/>
        </w:rPr>
        <w:t>1,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*Поля сторінки – </w:t>
      </w:r>
      <w:r>
        <w:rPr>
          <w:b/>
          <w:color w:val="000000"/>
          <w:sz w:val="24"/>
          <w:szCs w:val="24"/>
        </w:rPr>
        <w:t>20 мм</w:t>
      </w:r>
      <w:r>
        <w:rPr>
          <w:color w:val="000000"/>
          <w:sz w:val="24"/>
          <w:szCs w:val="24"/>
        </w:rPr>
        <w:t xml:space="preserve"> з усіх сторін.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F01A99">
        <w:rPr>
          <w:color w:val="A62705" w:themeColor="accent6" w:themeShade="80"/>
          <w:sz w:val="24"/>
          <w:szCs w:val="24"/>
        </w:rPr>
        <w:t>3)</w:t>
      </w:r>
      <w:r w:rsidRPr="00F01A99">
        <w:rPr>
          <w:b/>
          <w:color w:val="A62705" w:themeColor="accent6" w:themeShade="80"/>
          <w:sz w:val="24"/>
          <w:szCs w:val="24"/>
        </w:rPr>
        <w:t xml:space="preserve"> Список джерел, на які посилаються автори, + посилання до тексту</w:t>
      </w:r>
      <w:r w:rsidR="004F1A1A" w:rsidRPr="00F01A99">
        <w:rPr>
          <w:b/>
          <w:color w:val="A62705" w:themeColor="accent6" w:themeShade="80"/>
          <w:sz w:val="24"/>
          <w:szCs w:val="24"/>
        </w:rPr>
        <w:t xml:space="preserve"> є обов’язковими! </w:t>
      </w:r>
      <w:r w:rsidR="004F1A1A" w:rsidRPr="004F1A1A">
        <w:rPr>
          <w:b/>
          <w:sz w:val="24"/>
          <w:szCs w:val="24"/>
        </w:rPr>
        <w:t>Список джерел подається у вигляді занумерованого переліку цитованих</w:t>
      </w:r>
      <w:r w:rsidR="004F1A1A">
        <w:rPr>
          <w:b/>
          <w:sz w:val="24"/>
          <w:szCs w:val="24"/>
        </w:rPr>
        <w:t xml:space="preserve"> робіт, оформленого</w:t>
      </w:r>
      <w:r w:rsidR="004F1A1A" w:rsidRPr="004F1A1A">
        <w:rPr>
          <w:b/>
          <w:sz w:val="24"/>
          <w:szCs w:val="24"/>
        </w:rPr>
        <w:t xml:space="preserve"> із дотриманням стандартів ВАК України 2015 (ДСТУ 8302:2015)</w:t>
      </w:r>
      <w:r>
        <w:rPr>
          <w:b/>
          <w:color w:val="000000"/>
          <w:sz w:val="24"/>
          <w:szCs w:val="24"/>
        </w:rPr>
        <w:t xml:space="preserve">. </w:t>
      </w:r>
      <w:r w:rsidR="004F1A1A">
        <w:rPr>
          <w:b/>
          <w:color w:val="000000"/>
          <w:sz w:val="24"/>
          <w:szCs w:val="24"/>
        </w:rPr>
        <w:t xml:space="preserve"> Посилання в тексті оформлюються  з</w:t>
      </w:r>
      <w:r>
        <w:rPr>
          <w:b/>
          <w:color w:val="000000"/>
          <w:sz w:val="24"/>
          <w:szCs w:val="24"/>
        </w:rPr>
        <w:t>гідно з</w:t>
      </w:r>
      <w:r w:rsidR="004F1A1A">
        <w:rPr>
          <w:b/>
          <w:color w:val="000000"/>
          <w:sz w:val="24"/>
          <w:szCs w:val="24"/>
        </w:rPr>
        <w:t xml:space="preserve"> нумерацією списку джерел, напр. [1, с. 26], де перший знак – порядковий номер за списком, а другий – номер цитованої сторінки.</w:t>
      </w:r>
      <w:r>
        <w:rPr>
          <w:b/>
          <w:color w:val="000000"/>
          <w:sz w:val="24"/>
          <w:szCs w:val="24"/>
        </w:rPr>
        <w:t xml:space="preserve"> Посилання повинно міститися всередині або в кінці абзацу.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F01A99">
        <w:rPr>
          <w:b/>
          <w:color w:val="A62705" w:themeColor="accent6" w:themeShade="80"/>
          <w:sz w:val="24"/>
          <w:szCs w:val="24"/>
          <w:u w:val="single"/>
        </w:rPr>
        <w:t>Увага:</w:t>
      </w:r>
      <w:r w:rsidRPr="00F01A99">
        <w:rPr>
          <w:color w:val="A62705" w:themeColor="accent6" w:themeShade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списку літератури електронний ресурс подавайте за таким прикладом:</w:t>
      </w:r>
    </w:p>
    <w:p w:rsidR="00244C62" w:rsidRDefault="000019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Rennig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A.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Das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Labyrinth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als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Strukturmodell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in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der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Kriminalliteratur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− ein Versuch. URL: </w:t>
      </w:r>
      <w:hyperlink r:id="rId5" w:anchor="v=onepage&amp;q&amp;f=false">
        <w:r>
          <w:rPr>
            <w:color w:val="000000"/>
            <w:sz w:val="28"/>
            <w:szCs w:val="28"/>
          </w:rPr>
          <w:t>https://books.google.com.ua/books?hl=ru&amp;lr=&amp;id=vixSDQAAQBAJ&amp;oi=fnd&amp;pg=PA167&amp;dq=komposition+in+detektiv+geschichten+&amp;ots=r_r54ZyHTR&amp;sig=2hTLSy2gUBKJLSOLCX1xVgIbDnc&amp;redir_esc=y#v=onepage&amp;q&amp;f=false</w:t>
        </w:r>
      </w:hyperlink>
      <w:r>
        <w:rPr>
          <w:color w:val="000000"/>
          <w:sz w:val="28"/>
          <w:szCs w:val="28"/>
        </w:rPr>
        <w:t xml:space="preserve"> (дата звернення: 07.02.2020).</w:t>
      </w:r>
    </w:p>
    <w:p w:rsidR="00244C62" w:rsidRPr="00591656" w:rsidRDefault="005916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591656">
        <w:rPr>
          <w:b/>
          <w:color w:val="000000"/>
          <w:sz w:val="24"/>
          <w:szCs w:val="24"/>
        </w:rPr>
        <w:t>*</w:t>
      </w:r>
      <w:r w:rsidR="00001961" w:rsidRPr="00591656">
        <w:rPr>
          <w:b/>
          <w:color w:val="000000"/>
          <w:sz w:val="24"/>
          <w:szCs w:val="24"/>
        </w:rPr>
        <w:t>Саме посилання чорного кольору та без підкреслення</w:t>
      </w:r>
    </w:p>
    <w:p w:rsidR="00244C62" w:rsidRPr="00591656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A62705" w:themeColor="accent6" w:themeShade="80"/>
          <w:sz w:val="24"/>
          <w:szCs w:val="24"/>
        </w:rPr>
      </w:pPr>
      <w:r w:rsidRPr="00591656">
        <w:rPr>
          <w:b/>
          <w:color w:val="A62705" w:themeColor="accent6" w:themeShade="80"/>
          <w:sz w:val="24"/>
          <w:szCs w:val="24"/>
        </w:rPr>
        <w:t>4) Усі статті будуть перев</w:t>
      </w:r>
      <w:r w:rsidR="00591656">
        <w:rPr>
          <w:b/>
          <w:color w:val="A62705" w:themeColor="accent6" w:themeShade="80"/>
          <w:sz w:val="24"/>
          <w:szCs w:val="24"/>
        </w:rPr>
        <w:t>ірятися на наявність плагіату!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Зразок оформлення статті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Секція № 4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I. </w:t>
      </w:r>
      <w:proofErr w:type="spellStart"/>
      <w:r>
        <w:rPr>
          <w:b/>
          <w:color w:val="000000"/>
          <w:sz w:val="26"/>
          <w:szCs w:val="26"/>
        </w:rPr>
        <w:t>Piskunov</w:t>
      </w:r>
      <w:proofErr w:type="spellEnd"/>
      <w:r>
        <w:rPr>
          <w:b/>
          <w:color w:val="000000"/>
          <w:sz w:val="26"/>
          <w:szCs w:val="26"/>
        </w:rPr>
        <w:t xml:space="preserve">, I.S. </w:t>
      </w:r>
      <w:proofErr w:type="spellStart"/>
      <w:r>
        <w:rPr>
          <w:b/>
          <w:color w:val="000000"/>
          <w:sz w:val="26"/>
          <w:szCs w:val="26"/>
        </w:rPr>
        <w:t>Rudnyeva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L’Université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nationale</w:t>
      </w:r>
      <w:proofErr w:type="spellEnd"/>
      <w:r>
        <w:rPr>
          <w:i/>
          <w:color w:val="000000"/>
          <w:sz w:val="26"/>
          <w:szCs w:val="26"/>
        </w:rPr>
        <w:t xml:space="preserve"> V.N. </w:t>
      </w:r>
      <w:proofErr w:type="spellStart"/>
      <w:r>
        <w:rPr>
          <w:i/>
          <w:color w:val="000000"/>
          <w:sz w:val="26"/>
          <w:szCs w:val="26"/>
        </w:rPr>
        <w:t>Karazine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de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Kharkov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Fullerènes</w:t>
      </w:r>
      <w:proofErr w:type="spellEnd"/>
      <w:r>
        <w:rPr>
          <w:b/>
          <w:color w:val="000000"/>
          <w:sz w:val="26"/>
          <w:szCs w:val="26"/>
        </w:rPr>
        <w:t> :</w:t>
      </w:r>
      <w:proofErr w:type="spellStart"/>
      <w:r>
        <w:rPr>
          <w:b/>
          <w:color w:val="000000"/>
          <w:sz w:val="26"/>
          <w:szCs w:val="26"/>
        </w:rPr>
        <w:t>particularités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biologiques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inopinées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des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nanoparticules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carbonates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ОСНОВНИЙ ТЕКСТ</w:t>
      </w:r>
    </w:p>
    <w:p w:rsidR="00244C62" w:rsidRDefault="000019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Ballons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nanofootballeurs</w:t>
      </w:r>
      <w:proofErr w:type="spellEnd"/>
      <w:r>
        <w:rPr>
          <w:color w:val="000000"/>
          <w:sz w:val="26"/>
          <w:szCs w:val="26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fullerènes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classe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extraordinaire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molécules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lesquelles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représentent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l'existence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carbone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baptise</w:t>
      </w:r>
      <w:proofErr w:type="spellEnd"/>
      <w:r>
        <w:rPr>
          <w:color w:val="000000"/>
          <w:sz w:val="26"/>
          <w:szCs w:val="26"/>
        </w:rPr>
        <w:t xml:space="preserve"> "</w:t>
      </w:r>
      <w:proofErr w:type="spellStart"/>
      <w:r>
        <w:rPr>
          <w:color w:val="000000"/>
          <w:sz w:val="26"/>
          <w:szCs w:val="26"/>
        </w:rPr>
        <w:t>modifications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allotropiques</w:t>
      </w:r>
      <w:proofErr w:type="spellEnd"/>
      <w:r>
        <w:rPr>
          <w:color w:val="000000"/>
          <w:sz w:val="26"/>
          <w:szCs w:val="26"/>
        </w:rPr>
        <w:t xml:space="preserve">").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évident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diamant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carbone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chacun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part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représente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allotropesvaries</w:t>
      </w:r>
      <w:proofErr w:type="spellEnd"/>
      <w:r>
        <w:rPr>
          <w:color w:val="000000"/>
          <w:sz w:val="26"/>
          <w:szCs w:val="26"/>
        </w:rPr>
        <w:t xml:space="preserve"> :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structure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diamant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atomes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carbone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placent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tétraèdres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tandis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graphite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composedeses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couches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plates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liées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hexagones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enfin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fullerènes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liaison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molécules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sphériques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avec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surface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renfermée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Ils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12 </w:t>
      </w:r>
      <w:proofErr w:type="spellStart"/>
      <w:r>
        <w:rPr>
          <w:color w:val="000000"/>
          <w:sz w:val="26"/>
          <w:szCs w:val="26"/>
        </w:rPr>
        <w:t>facettes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pentagonales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hexagonales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Chaque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pentagone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exclusivement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voisinage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avec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hexagones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dimension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</w:t>
      </w:r>
      <w:proofErr w:type="spellEnd"/>
      <w:r>
        <w:rPr>
          <w:color w:val="000000"/>
          <w:sz w:val="26"/>
          <w:szCs w:val="26"/>
        </w:rPr>
        <w:t xml:space="preserve"> "</w:t>
      </w:r>
      <w:proofErr w:type="spellStart"/>
      <w:r>
        <w:rPr>
          <w:color w:val="000000"/>
          <w:sz w:val="26"/>
          <w:szCs w:val="26"/>
        </w:rPr>
        <w:t>ballon</w:t>
      </w:r>
      <w:proofErr w:type="spellEnd"/>
      <w:r>
        <w:rPr>
          <w:color w:val="000000"/>
          <w:sz w:val="26"/>
          <w:szCs w:val="26"/>
        </w:rPr>
        <w:t xml:space="preserve">"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d’un</w:t>
      </w:r>
      <w:proofErr w:type="spellEnd"/>
      <w:r>
        <w:rPr>
          <w:color w:val="000000"/>
          <w:sz w:val="26"/>
          <w:szCs w:val="26"/>
        </w:rPr>
        <w:t xml:space="preserve"> (1) </w:t>
      </w:r>
      <w:proofErr w:type="spellStart"/>
      <w:r>
        <w:rPr>
          <w:color w:val="000000"/>
          <w:sz w:val="26"/>
          <w:szCs w:val="26"/>
        </w:rPr>
        <w:t>nanomètre</w:t>
      </w:r>
      <w:proofErr w:type="spellEnd"/>
      <w:r>
        <w:rPr>
          <w:color w:val="000000"/>
          <w:sz w:val="26"/>
          <w:szCs w:val="26"/>
        </w:rPr>
        <w:t xml:space="preserve"> [3].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littérature</w:t>
      </w:r>
      <w:proofErr w:type="spellEnd"/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Секція № 3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T. </w:t>
      </w:r>
      <w:proofErr w:type="spellStart"/>
      <w:r>
        <w:rPr>
          <w:b/>
          <w:color w:val="000000"/>
          <w:sz w:val="26"/>
          <w:szCs w:val="26"/>
        </w:rPr>
        <w:t>Statkewytsch</w:t>
      </w:r>
      <w:proofErr w:type="spellEnd"/>
      <w:r>
        <w:rPr>
          <w:b/>
          <w:color w:val="000000"/>
          <w:sz w:val="26"/>
          <w:szCs w:val="26"/>
        </w:rPr>
        <w:t xml:space="preserve">, L.V. </w:t>
      </w:r>
      <w:proofErr w:type="spellStart"/>
      <w:r>
        <w:rPr>
          <w:b/>
          <w:color w:val="000000"/>
          <w:sz w:val="26"/>
          <w:szCs w:val="26"/>
        </w:rPr>
        <w:t>Tsapenko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Charkiwer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Nationale</w:t>
      </w:r>
      <w:proofErr w:type="spellEnd"/>
      <w:r>
        <w:rPr>
          <w:i/>
          <w:color w:val="000000"/>
          <w:sz w:val="26"/>
          <w:szCs w:val="26"/>
        </w:rPr>
        <w:t xml:space="preserve"> W.N. </w:t>
      </w:r>
      <w:proofErr w:type="spellStart"/>
      <w:r>
        <w:rPr>
          <w:i/>
          <w:color w:val="000000"/>
          <w:sz w:val="26"/>
          <w:szCs w:val="26"/>
        </w:rPr>
        <w:t>Karasin-Universität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Sozial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gefährliche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Untätigkeit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ОСНОВНИЙ ТЕКСТ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Besonderheiten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Einflusses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strafrechtlich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geschützte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Gegenstände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müssen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Kausalzusammenhang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charakterisiert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Besonderheit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Einflusses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strafbaren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Untätigkeit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Gegenstände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strafrechtlichen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Schutzes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besteht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darin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verpflichtete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Subjekt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Entwicklung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Gegenstände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schädlichen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Prozessen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eingreift</w:t>
      </w:r>
      <w:proofErr w:type="spellEnd"/>
      <w:r>
        <w:rPr>
          <w:color w:val="000000"/>
          <w:sz w:val="26"/>
          <w:szCs w:val="26"/>
        </w:rPr>
        <w:t xml:space="preserve"> [3, S. 221]. </w:t>
      </w:r>
      <w:proofErr w:type="spellStart"/>
      <w:r>
        <w:rPr>
          <w:color w:val="000000"/>
          <w:sz w:val="26"/>
          <w:szCs w:val="26"/>
        </w:rPr>
        <w:t>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Betracht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gezogen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Inaktivität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Voraussetzung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Auftreten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sozial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gefährlicher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Folgen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Ursache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auftritt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kann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argumentiert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Handlungsweise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indirekt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Ziele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strafrechtlichen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Schutzes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berührt</w:t>
      </w:r>
      <w:proofErr w:type="spellEnd"/>
      <w:r>
        <w:rPr>
          <w:color w:val="000000"/>
          <w:sz w:val="26"/>
          <w:szCs w:val="26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Quellen</w:t>
      </w:r>
      <w:proofErr w:type="spellEnd"/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4C62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!!!</w:t>
      </w:r>
      <w:r w:rsidR="00001961">
        <w:rPr>
          <w:b/>
          <w:color w:val="000000"/>
          <w:sz w:val="28"/>
          <w:szCs w:val="28"/>
        </w:rPr>
        <w:t xml:space="preserve"> Готовий варіант збірника наукових праць буде у вільному доступі на сайті кафедри німецької та французької мов Харківського національного університету імені В.Н. Каразіна у розділі Бібліотека кафедри (після закінчення конференції)</w:t>
      </w:r>
    </w:p>
    <w:p w:rsidR="00244C62" w:rsidRPr="00591656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91656">
        <w:rPr>
          <w:sz w:val="28"/>
          <w:szCs w:val="28"/>
        </w:rPr>
        <w:t>(http://foreign-languages.karazin.ua/departments/german-and-french-languages)</w:t>
      </w:r>
      <w:r w:rsidRPr="00591656">
        <w:rPr>
          <w:b/>
          <w:sz w:val="28"/>
          <w:szCs w:val="28"/>
        </w:rPr>
        <w:t xml:space="preserve"> 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</w:p>
    <w:p w:rsidR="00244C62" w:rsidRPr="00591656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  <w:r w:rsidRPr="00591656">
        <w:rPr>
          <w:b/>
          <w:i/>
          <w:sz w:val="28"/>
          <w:szCs w:val="28"/>
        </w:rPr>
        <w:t>З приводу будь-яких питань звертайтеся до Інни Олександрівни ( 0685969281)   stpublish2020@gmail.com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Організаційний комітет: </w:t>
      </w:r>
      <w:r w:rsidR="00591656">
        <w:rPr>
          <w:color w:val="000000"/>
          <w:sz w:val="28"/>
          <w:szCs w:val="28"/>
        </w:rPr>
        <w:tab/>
      </w:r>
      <w:r w:rsidR="0059165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Кафедра німецької та французької мов </w:t>
      </w:r>
    </w:p>
    <w:p w:rsidR="00244C62" w:rsidRDefault="00001961" w:rsidP="00591656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Харківського національного університету імені В.Н. Каразіна</w:t>
      </w: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Контактний телефон: </w:t>
      </w:r>
      <w:r w:rsidR="00591656">
        <w:rPr>
          <w:color w:val="000000"/>
          <w:sz w:val="28"/>
          <w:szCs w:val="28"/>
        </w:rPr>
        <w:tab/>
      </w:r>
      <w:r w:rsidR="00591656">
        <w:rPr>
          <w:color w:val="000000"/>
          <w:sz w:val="28"/>
          <w:szCs w:val="28"/>
        </w:rPr>
        <w:tab/>
      </w:r>
      <w:r w:rsidR="0059165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707 51 1</w:t>
      </w:r>
      <w:bookmarkStart w:id="0" w:name="_GoBack"/>
      <w:bookmarkEnd w:id="0"/>
      <w:r>
        <w:rPr>
          <w:color w:val="000000"/>
          <w:sz w:val="28"/>
          <w:szCs w:val="28"/>
        </w:rPr>
        <w:t>5</w:t>
      </w:r>
    </w:p>
    <w:sectPr w:rsidR="00244C62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673"/>
    <w:multiLevelType w:val="multilevel"/>
    <w:tmpl w:val="4948D12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FF4610"/>
    <w:multiLevelType w:val="multilevel"/>
    <w:tmpl w:val="257670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E7902A2"/>
    <w:multiLevelType w:val="multilevel"/>
    <w:tmpl w:val="737E34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2"/>
    <w:rsid w:val="00001961"/>
    <w:rsid w:val="00244C62"/>
    <w:rsid w:val="004F1A1A"/>
    <w:rsid w:val="00591656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EE2E"/>
  <w15:docId w15:val="{8AE8FDA0-C4B3-4183-B468-FFBF161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Subtle Reference"/>
    <w:basedOn w:val="a0"/>
    <w:uiPriority w:val="31"/>
    <w:qFormat/>
    <w:rsid w:val="00F01A9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com.ua/books?hl=ru&amp;lr=&amp;id=vixSDQAAQBAJ&amp;oi=fnd&amp;pg=PA167&amp;dq=komposition+in+detektiv+geschichten+&amp;ots=r_r54ZyHTR&amp;sig=2hTLSy2gUBKJLSOLCX1xVgIbDnc&amp;redir_esc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2020-12-03T09:00:00Z</dcterms:created>
  <dcterms:modified xsi:type="dcterms:W3CDTF">2021-01-19T11:57:00Z</dcterms:modified>
</cp:coreProperties>
</file>