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2D3EC2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2D3EC2" w:rsidRPr="00501C3A" w:rsidRDefault="002D3EC2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2D3EC2" w:rsidRPr="00501C3A" w:rsidRDefault="002D3EC2" w:rsidP="00560F5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ПРАВА ЛЮДИНИ У КОНСТИТУЦІЙНІЙ ДЕРЖАВІ</w:t>
            </w:r>
          </w:p>
        </w:tc>
      </w:tr>
      <w:tr w:rsidR="002D3EC2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2D3EC2" w:rsidRPr="00501C3A" w:rsidRDefault="002D3EC2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2D3EC2" w:rsidRPr="00400FD1" w:rsidRDefault="002D3EC2" w:rsidP="00560F58">
            <w:pPr>
              <w:rPr>
                <w:lang w:val="uk-UA"/>
              </w:rPr>
            </w:pPr>
            <w:r w:rsidRPr="00400FD1">
              <w:rPr>
                <w:lang w:val="uk-UA"/>
              </w:rPr>
              <w:t>Для студентів</w:t>
            </w:r>
            <w:r w:rsidRPr="00400FD1">
              <w:rPr>
                <w:b/>
                <w:lang w:val="uk-UA"/>
              </w:rPr>
              <w:t xml:space="preserve"> </w:t>
            </w:r>
            <w:r w:rsidRPr="00CB2524">
              <w:rPr>
                <w:lang w:val="uk-UA"/>
              </w:rPr>
              <w:t>2</w:t>
            </w:r>
            <w:r w:rsidRPr="00400FD1">
              <w:rPr>
                <w:lang w:val="uk-UA"/>
              </w:rPr>
              <w:t xml:space="preserve"> або </w:t>
            </w:r>
            <w:r w:rsidRPr="00CB2524">
              <w:rPr>
                <w:lang w:val="uk-UA"/>
              </w:rPr>
              <w:t>3  кур</w:t>
            </w:r>
            <w:r w:rsidRPr="00400FD1">
              <w:rPr>
                <w:lang w:val="uk-UA"/>
              </w:rPr>
              <w:t xml:space="preserve">сів </w:t>
            </w:r>
            <w:r>
              <w:rPr>
                <w:lang w:val="uk-UA"/>
              </w:rPr>
              <w:t>освітньо-</w:t>
            </w:r>
            <w:r w:rsidRPr="00400FD1">
              <w:rPr>
                <w:lang w:val="uk-UA"/>
              </w:rPr>
              <w:t xml:space="preserve">професійної програми підготовки бакалаврів, </w:t>
            </w:r>
            <w:bookmarkStart w:id="0" w:name="_GoBack"/>
            <w:bookmarkEnd w:id="0"/>
            <w:r w:rsidRPr="00400FD1">
              <w:rPr>
                <w:lang w:val="uk-UA"/>
              </w:rPr>
              <w:t>усіх факультетів</w:t>
            </w:r>
            <w:r>
              <w:rPr>
                <w:lang w:val="uk-UA"/>
              </w:rPr>
              <w:t xml:space="preserve"> ХНУ імені </w:t>
            </w:r>
            <w:proofErr w:type="spellStart"/>
            <w:r>
              <w:rPr>
                <w:lang w:val="uk-UA"/>
              </w:rPr>
              <w:t>В.Н. </w:t>
            </w:r>
            <w:r w:rsidRPr="00400FD1">
              <w:rPr>
                <w:lang w:val="uk-UA"/>
              </w:rPr>
              <w:t>Кар</w:t>
            </w:r>
            <w:proofErr w:type="spellEnd"/>
            <w:r w:rsidRPr="00400FD1">
              <w:rPr>
                <w:lang w:val="uk-UA"/>
              </w:rPr>
              <w:t xml:space="preserve">азіна. </w:t>
            </w:r>
          </w:p>
          <w:p w:rsidR="002D3EC2" w:rsidRPr="00501C3A" w:rsidRDefault="002D3EC2" w:rsidP="00560F58">
            <w:pPr>
              <w:rPr>
                <w:color w:val="000000"/>
                <w:lang w:val="uk-UA"/>
              </w:rPr>
            </w:pPr>
          </w:p>
        </w:tc>
      </w:tr>
      <w:tr w:rsidR="002D3EC2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2D3EC2" w:rsidRPr="00DB006B" w:rsidRDefault="002D3EC2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 xml:space="preserve">Контактні дані розробників робочої програми навчальної дисципліни,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DB006B">
              <w:rPr>
                <w:b/>
                <w:bCs/>
                <w:color w:val="000000"/>
                <w:lang w:val="uk-UA"/>
              </w:rPr>
              <w:t>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2D3EC2" w:rsidRDefault="002D3EC2" w:rsidP="00560F58">
            <w:pPr>
              <w:rPr>
                <w:lang w:val="uk-UA"/>
              </w:rPr>
            </w:pPr>
            <w:proofErr w:type="spellStart"/>
            <w:r w:rsidRPr="001572BD">
              <w:rPr>
                <w:sz w:val="28"/>
                <w:szCs w:val="28"/>
                <w:lang w:val="uk-UA"/>
              </w:rPr>
              <w:t>д</w:t>
            </w:r>
            <w:r w:rsidRPr="00400FD1">
              <w:rPr>
                <w:lang w:val="uk-UA"/>
              </w:rPr>
              <w:t>.ю.н</w:t>
            </w:r>
            <w:proofErr w:type="spellEnd"/>
            <w:r w:rsidRPr="00400FD1">
              <w:rPr>
                <w:lang w:val="uk-UA"/>
              </w:rPr>
              <w:t>., проф</w:t>
            </w:r>
            <w:r>
              <w:rPr>
                <w:lang w:val="uk-UA"/>
              </w:rPr>
              <w:t>.</w:t>
            </w:r>
            <w:r w:rsidRPr="00400FD1">
              <w:rPr>
                <w:lang w:val="uk-UA"/>
              </w:rPr>
              <w:t xml:space="preserve">, професор кафедри конституційного і муніципального права юридичного факультету </w:t>
            </w:r>
          </w:p>
          <w:p w:rsidR="002D3EC2" w:rsidRDefault="002D3EC2" w:rsidP="00560F58">
            <w:pPr>
              <w:jc w:val="both"/>
              <w:rPr>
                <w:lang w:val="uk-UA"/>
              </w:rPr>
            </w:pPr>
            <w:proofErr w:type="spellStart"/>
            <w:r w:rsidRPr="00400FD1">
              <w:rPr>
                <w:b/>
                <w:lang w:val="uk-UA"/>
              </w:rPr>
              <w:t>Серьогін</w:t>
            </w:r>
            <w:proofErr w:type="spellEnd"/>
            <w:r w:rsidRPr="00400FD1">
              <w:rPr>
                <w:b/>
                <w:lang w:val="uk-UA"/>
              </w:rPr>
              <w:t xml:space="preserve"> Віталій Олександрович</w:t>
            </w:r>
            <w:r w:rsidRPr="00400FD1">
              <w:rPr>
                <w:lang w:val="uk-UA"/>
              </w:rPr>
              <w:t xml:space="preserve">. </w:t>
            </w:r>
          </w:p>
          <w:p w:rsidR="002D3EC2" w:rsidRDefault="002D3EC2" w:rsidP="00560F58">
            <w:pPr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>Тел. роб.: 707-50-42.</w:t>
            </w:r>
          </w:p>
          <w:p w:rsidR="002D3EC2" w:rsidRPr="00400FD1" w:rsidRDefault="002D3EC2" w:rsidP="00560F58">
            <w:pPr>
              <w:jc w:val="both"/>
              <w:rPr>
                <w:lang w:val="de-DE"/>
              </w:rPr>
            </w:pPr>
            <w:proofErr w:type="spellStart"/>
            <w:r w:rsidRPr="00400FD1">
              <w:rPr>
                <w:lang w:val="de-DE"/>
              </w:rPr>
              <w:t>e-mail</w:t>
            </w:r>
            <w:proofErr w:type="spellEnd"/>
            <w:r w:rsidRPr="00400FD1">
              <w:rPr>
                <w:lang w:val="de-DE"/>
              </w:rPr>
              <w:t>: v.a.seryogin@karazin.ua</w:t>
            </w:r>
          </w:p>
          <w:p w:rsidR="002D3EC2" w:rsidRPr="00DB006B" w:rsidRDefault="002D3EC2" w:rsidP="00560F58">
            <w:pPr>
              <w:rPr>
                <w:color w:val="000000"/>
                <w:lang w:val="uk-UA"/>
              </w:rPr>
            </w:pPr>
          </w:p>
        </w:tc>
      </w:tr>
      <w:tr w:rsidR="002D3EC2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2D3EC2" w:rsidRPr="00DB006B" w:rsidRDefault="002D3EC2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2D3EC2" w:rsidRPr="00400FD1" w:rsidRDefault="002D3EC2" w:rsidP="00560F58">
            <w:pPr>
              <w:jc w:val="both"/>
              <w:rPr>
                <w:b/>
                <w:lang w:val="uk-UA"/>
              </w:rPr>
            </w:pPr>
            <w:r w:rsidRPr="00400FD1">
              <w:rPr>
                <w:lang w:val="uk-UA"/>
              </w:rPr>
              <w:t xml:space="preserve">Вивчення нормативних навчальних дисциплін 1 курсу навчання професійної (освітньо-наукової) програми підготовки бакалаврів. </w:t>
            </w:r>
          </w:p>
          <w:p w:rsidR="002D3EC2" w:rsidRPr="00DB006B" w:rsidRDefault="002D3EC2" w:rsidP="00560F58">
            <w:pPr>
              <w:rPr>
                <w:bCs/>
                <w:color w:val="000000"/>
                <w:lang w:val="uk-UA"/>
              </w:rPr>
            </w:pPr>
          </w:p>
        </w:tc>
      </w:tr>
      <w:tr w:rsidR="002D3EC2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2D3EC2" w:rsidRPr="00DB006B" w:rsidRDefault="002D3EC2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2D3EC2" w:rsidRDefault="002D3EC2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Мета дисципліни</w:t>
            </w:r>
            <w:r>
              <w:rPr>
                <w:b/>
                <w:bCs/>
                <w:color w:val="000000"/>
                <w:lang w:val="uk-UA"/>
              </w:rPr>
              <w:t>:</w:t>
            </w:r>
            <w:r w:rsidRPr="00DB006B">
              <w:rPr>
                <w:color w:val="000000"/>
                <w:lang w:val="uk-UA"/>
              </w:rPr>
              <w:t xml:space="preserve"> </w:t>
            </w:r>
          </w:p>
          <w:p w:rsidR="002D3EC2" w:rsidRPr="00400FD1" w:rsidRDefault="002D3EC2" w:rsidP="00560F58">
            <w:pPr>
              <w:pStyle w:val="a3"/>
              <w:tabs>
                <w:tab w:val="num" w:pos="720"/>
              </w:tabs>
              <w:rPr>
                <w:lang w:val="uk-UA"/>
              </w:rPr>
            </w:pPr>
            <w:r w:rsidRPr="00400FD1">
              <w:rPr>
                <w:lang w:val="uk-UA"/>
              </w:rPr>
              <w:t>введення студентів у «світ» юриспруденції, формування у них світогляду, що ґрунтується на гуманістичних цінностях,</w:t>
            </w:r>
            <w:r w:rsidRPr="00400FD1">
              <w:rPr>
                <w:b/>
                <w:lang w:val="uk-UA"/>
              </w:rPr>
              <w:t xml:space="preserve"> </w:t>
            </w:r>
            <w:r w:rsidRPr="00400FD1">
              <w:rPr>
                <w:lang w:val="uk-UA"/>
              </w:rPr>
              <w:t>розуміння сенсу і соціального призначення конституційної держави як такої, що діє на підставі та у спосіб, що передбачені Конституцією, з метою забезпечення основних прав і свобод людини і громадянина; вироблення у студентів навичок самостійної роботи з конституційним законодавством України, аналізу змісту його норм у різних сферах життєдіяльності людини і суспільства з метою їх правильного і своєчасного застосування для реалізації власних прав та їх захисту в разі їх порушення; формування у студентів високого рівня правової обізнаності, правосвідомості та правової культури. Особлива увага приділяється прагматичним аспектам конституційно-правової культури особи, що надає змогу студентам застосовувати набуті знання у процесі повсякденної життєдіяльності.</w:t>
            </w:r>
          </w:p>
          <w:p w:rsidR="002D3EC2" w:rsidRPr="00DB006B" w:rsidRDefault="002D3EC2" w:rsidP="00560F58">
            <w:pPr>
              <w:jc w:val="both"/>
              <w:rPr>
                <w:color w:val="000000"/>
                <w:lang w:val="uk-UA"/>
              </w:rPr>
            </w:pPr>
          </w:p>
          <w:p w:rsidR="002D3EC2" w:rsidRPr="00DB006B" w:rsidRDefault="002D3EC2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DB006B">
              <w:rPr>
                <w:color w:val="000000"/>
                <w:lang w:val="uk-UA"/>
              </w:rPr>
              <w:t xml:space="preserve">. </w:t>
            </w:r>
          </w:p>
          <w:p w:rsidR="002D3EC2" w:rsidRPr="00400FD1" w:rsidRDefault="002D3EC2" w:rsidP="00560F58">
            <w:pPr>
              <w:tabs>
                <w:tab w:val="num" w:pos="720"/>
              </w:tabs>
              <w:rPr>
                <w:lang w:val="uk-UA"/>
              </w:rPr>
            </w:pPr>
            <w:r w:rsidRPr="00400FD1">
              <w:rPr>
                <w:lang w:val="uk-UA"/>
              </w:rPr>
              <w:t xml:space="preserve">формування у студентів таких загальних та професійних  </w:t>
            </w:r>
            <w:proofErr w:type="spellStart"/>
            <w:r w:rsidRPr="00400FD1">
              <w:rPr>
                <w:lang w:val="uk-UA"/>
              </w:rPr>
              <w:t>компетентностей</w:t>
            </w:r>
            <w:proofErr w:type="spellEnd"/>
            <w:r w:rsidRPr="00400FD1">
              <w:rPr>
                <w:lang w:val="uk-UA"/>
              </w:rPr>
              <w:t xml:space="preserve">: </w:t>
            </w:r>
          </w:p>
          <w:p w:rsidR="002D3EC2" w:rsidRPr="00400FD1" w:rsidRDefault="002D3EC2" w:rsidP="002D3EC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rPr>
                <w:lang w:val="uk-UA"/>
              </w:rPr>
            </w:pPr>
            <w:r w:rsidRPr="00400FD1">
              <w:rPr>
                <w:lang w:val="uk-UA"/>
              </w:rPr>
              <w:t>знання сутнісних властивостей основних прав і свобод людини та конституційної держави, змісту ключових правових концепцій (доктрин) у даній сфері;</w:t>
            </w:r>
          </w:p>
          <w:p w:rsidR="002D3EC2" w:rsidRPr="00400FD1" w:rsidRDefault="002D3EC2" w:rsidP="002D3EC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rPr>
                <w:lang w:val="uk-UA"/>
              </w:rPr>
            </w:pPr>
            <w:r w:rsidRPr="00400FD1">
              <w:rPr>
                <w:lang w:val="uk-UA"/>
              </w:rPr>
              <w:t>розуміння  соціально-юридичного механізму забезпечення прав і свобод особи в конституційній державі, вміння використовувати їх у повсякденній діяльності;</w:t>
            </w:r>
          </w:p>
          <w:p w:rsidR="002D3EC2" w:rsidRPr="00400FD1" w:rsidRDefault="002D3EC2" w:rsidP="002D3EC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rPr>
                <w:lang w:val="uk-UA"/>
              </w:rPr>
            </w:pPr>
            <w:r w:rsidRPr="00400FD1">
              <w:rPr>
                <w:lang w:val="uk-UA"/>
              </w:rPr>
              <w:t xml:space="preserve"> здатність виявляти фактори, що впливають на формування конституційної держави та розвиток її інститутів, а також форми і наслідки впливу </w:t>
            </w:r>
            <w:r w:rsidRPr="00400FD1">
              <w:rPr>
                <w:lang w:val="uk-UA"/>
              </w:rPr>
              <w:lastRenderedPageBreak/>
              <w:t xml:space="preserve">конституційної держави на права і свободи громадян;  </w:t>
            </w:r>
          </w:p>
          <w:p w:rsidR="002D3EC2" w:rsidRPr="00400FD1" w:rsidRDefault="002D3EC2" w:rsidP="002D3EC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rPr>
                <w:lang w:val="uk-UA"/>
              </w:rPr>
            </w:pPr>
            <w:r w:rsidRPr="00400FD1">
              <w:rPr>
                <w:lang w:val="uk-UA"/>
              </w:rPr>
              <w:t>здатність діяти з урахуванням соціальної відповідальності та громадянських зобов’язань, з повагою ставитися до права й закону.</w:t>
            </w:r>
          </w:p>
          <w:p w:rsidR="002D3EC2" w:rsidRPr="00400FD1" w:rsidRDefault="002D3EC2" w:rsidP="00560F58">
            <w:pPr>
              <w:rPr>
                <w:color w:val="000000"/>
                <w:lang w:val="uk-UA"/>
              </w:rPr>
            </w:pPr>
          </w:p>
          <w:p w:rsidR="002D3EC2" w:rsidRPr="00400FD1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 xml:space="preserve">Теми </w:t>
            </w:r>
            <w:r w:rsidRPr="00400FD1">
              <w:rPr>
                <w:b/>
                <w:bCs/>
                <w:color w:val="000000"/>
                <w:lang w:val="uk-UA"/>
              </w:rPr>
              <w:t xml:space="preserve">аудиторних занять: </w:t>
            </w:r>
          </w:p>
          <w:p w:rsidR="002D3EC2" w:rsidRPr="00400FD1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264"/>
                <w:tab w:val="left" w:pos="406"/>
                <w:tab w:val="left" w:pos="548"/>
              </w:tabs>
              <w:ind w:left="0" w:firstLine="26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>Поняття та ознаки конституційної держави.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Механізм конституційної держави.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Принципи правового статусу особи у конституційній державі.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 xml:space="preserve">Поняття і сутність прав людини. Філософія прав людини. 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Система і структура прав людини.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 xml:space="preserve">«Людський вимір» політики конституційної держави. 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Національні механізми і засоби захисту прав людини.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Роль і значення неурядових правозахисних організацій у забезпеченні прав людини.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  <w:tab w:val="left" w:pos="973"/>
              </w:tabs>
              <w:ind w:left="406" w:hanging="142"/>
              <w:rPr>
                <w:lang w:val="uk-UA"/>
              </w:rPr>
            </w:pPr>
            <w:r w:rsidRPr="00400FD1">
              <w:rPr>
                <w:lang w:val="uk-UA"/>
              </w:rPr>
              <w:t>Права людини в інформаційному суспільстві.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548" w:hanging="284"/>
              <w:rPr>
                <w:lang w:val="uk-UA"/>
              </w:rPr>
            </w:pPr>
            <w:r w:rsidRPr="00400FD1">
              <w:rPr>
                <w:lang w:val="uk-UA"/>
              </w:rPr>
              <w:t>«Електронне врядування» і права людини.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548" w:hanging="284"/>
              <w:rPr>
                <w:lang w:val="uk-UA"/>
              </w:rPr>
            </w:pPr>
            <w:r w:rsidRPr="00400FD1">
              <w:rPr>
                <w:lang w:val="uk-UA"/>
              </w:rPr>
              <w:t xml:space="preserve"> Проблеми забезпечення прав людини в умовах європейської та світової інтеграції.</w:t>
            </w:r>
          </w:p>
          <w:p w:rsidR="002D3EC2" w:rsidRPr="00400FD1" w:rsidRDefault="002D3EC2" w:rsidP="002D3EC2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548" w:hanging="284"/>
              <w:rPr>
                <w:lang w:val="uk-UA"/>
              </w:rPr>
            </w:pPr>
            <w:r w:rsidRPr="00400FD1">
              <w:rPr>
                <w:lang w:val="uk-UA"/>
              </w:rPr>
              <w:t>Розвиток конституційної держави і формування нових «поколінь» прав людини.</w:t>
            </w:r>
          </w:p>
          <w:p w:rsidR="002D3EC2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2D3EC2" w:rsidRPr="00DB006B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Теми самостійної роботи</w:t>
            </w:r>
            <w:r>
              <w:rPr>
                <w:b/>
                <w:bCs/>
                <w:color w:val="000000"/>
                <w:lang w:val="uk-UA"/>
              </w:rPr>
              <w:t>:</w:t>
            </w:r>
          </w:p>
          <w:p w:rsidR="002D3EC2" w:rsidRPr="00DB006B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2D3EC2" w:rsidRPr="00400FD1" w:rsidRDefault="002D3EC2" w:rsidP="002D3EC2">
            <w:pPr>
              <w:numPr>
                <w:ilvl w:val="0"/>
                <w:numId w:val="3"/>
              </w:numPr>
              <w:tabs>
                <w:tab w:val="left" w:pos="264"/>
              </w:tabs>
              <w:ind w:left="548" w:hanging="28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>Взаємна відповідальність держави та особи.</w:t>
            </w:r>
          </w:p>
          <w:p w:rsidR="002D3EC2" w:rsidRPr="00400FD1" w:rsidRDefault="002D3EC2" w:rsidP="002D3EC2">
            <w:pPr>
              <w:numPr>
                <w:ilvl w:val="0"/>
                <w:numId w:val="3"/>
              </w:numPr>
              <w:tabs>
                <w:tab w:val="left" w:pos="264"/>
              </w:tabs>
              <w:ind w:left="548" w:hanging="28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>Громадянство в конституційній державі.</w:t>
            </w:r>
          </w:p>
          <w:p w:rsidR="002D3EC2" w:rsidRPr="00400FD1" w:rsidRDefault="002D3EC2" w:rsidP="002D3EC2">
            <w:pPr>
              <w:numPr>
                <w:ilvl w:val="0"/>
                <w:numId w:val="3"/>
              </w:numPr>
              <w:tabs>
                <w:tab w:val="left" w:pos="264"/>
              </w:tabs>
              <w:ind w:left="548" w:hanging="28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 xml:space="preserve">«Покоління прав людини» як відображення розвитку суспільства і держави. </w:t>
            </w:r>
          </w:p>
          <w:p w:rsidR="002D3EC2" w:rsidRPr="00400FD1" w:rsidRDefault="002D3EC2" w:rsidP="002D3EC2">
            <w:pPr>
              <w:numPr>
                <w:ilvl w:val="0"/>
                <w:numId w:val="3"/>
              </w:numPr>
              <w:tabs>
                <w:tab w:val="left" w:pos="264"/>
              </w:tabs>
              <w:ind w:left="548" w:hanging="28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 xml:space="preserve">Права людини на муніципальному рівні. </w:t>
            </w:r>
          </w:p>
          <w:p w:rsidR="002D3EC2" w:rsidRPr="00400FD1" w:rsidRDefault="002D3EC2" w:rsidP="002D3EC2">
            <w:pPr>
              <w:numPr>
                <w:ilvl w:val="0"/>
                <w:numId w:val="3"/>
              </w:numPr>
              <w:tabs>
                <w:tab w:val="left" w:pos="264"/>
              </w:tabs>
              <w:ind w:left="548" w:hanging="284"/>
              <w:jc w:val="both"/>
              <w:rPr>
                <w:lang w:val="uk-UA"/>
              </w:rPr>
            </w:pPr>
            <w:r w:rsidRPr="00400FD1">
              <w:rPr>
                <w:lang w:val="uk-UA"/>
              </w:rPr>
              <w:t xml:space="preserve">Міжнародні стандарти в галузі прав людини.  </w:t>
            </w:r>
          </w:p>
          <w:p w:rsidR="002D3EC2" w:rsidRPr="00DB006B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2D3EC2" w:rsidRPr="00DB006B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2D3EC2" w:rsidRPr="00DB006B" w:rsidRDefault="002D3EC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2D3EC2" w:rsidRPr="00400FD1" w:rsidRDefault="002D3EC2" w:rsidP="00560F58">
            <w:pPr>
              <w:ind w:left="142" w:hanging="20"/>
              <w:jc w:val="both"/>
              <w:rPr>
                <w:lang w:val="uk-UA"/>
              </w:rPr>
            </w:pPr>
            <w:r w:rsidRPr="00400FD1">
              <w:rPr>
                <w:b/>
                <w:lang w:val="uk-UA"/>
              </w:rPr>
              <w:t xml:space="preserve">Поточний контроль - </w:t>
            </w:r>
            <w:r w:rsidRPr="00400FD1">
              <w:rPr>
                <w:lang w:val="uk-UA"/>
              </w:rPr>
              <w:t xml:space="preserve">на аудиторних заняттях у формі усного опитування або виконання письмових завдань (у тому числі в межах самостійної роботи студентів над опануванням дисципліни), виступів студентів при обговоренні питань на семінарських заняттях, у формі колоквіуму, тестування тощо. </w:t>
            </w:r>
          </w:p>
          <w:p w:rsidR="002D3EC2" w:rsidRPr="00400FD1" w:rsidRDefault="002D3EC2" w:rsidP="00560F58">
            <w:pPr>
              <w:ind w:left="142" w:hanging="20"/>
              <w:jc w:val="both"/>
              <w:rPr>
                <w:b/>
                <w:lang w:val="uk-UA"/>
              </w:rPr>
            </w:pPr>
            <w:r w:rsidRPr="00400FD1">
              <w:rPr>
                <w:b/>
                <w:lang w:val="uk-UA"/>
              </w:rPr>
              <w:t>Підсумковий семестровий контроль</w:t>
            </w:r>
            <w:r w:rsidRPr="00400FD1">
              <w:rPr>
                <w:lang w:val="uk-UA"/>
              </w:rPr>
              <w:t xml:space="preserve"> - у формі семестрового заліку. </w:t>
            </w:r>
          </w:p>
          <w:p w:rsidR="002D3EC2" w:rsidRPr="00DB006B" w:rsidRDefault="002D3EC2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2D3EC2" w:rsidRPr="00DB006B" w:rsidRDefault="002D3EC2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Мова викл</w:t>
            </w:r>
            <w:r>
              <w:rPr>
                <w:b/>
                <w:bCs/>
                <w:color w:val="000000"/>
                <w:lang w:val="uk-UA"/>
              </w:rPr>
              <w:t xml:space="preserve">адання: </w:t>
            </w:r>
            <w:r w:rsidRPr="00400FD1">
              <w:rPr>
                <w:bCs/>
                <w:color w:val="000000"/>
                <w:lang w:val="uk-UA"/>
              </w:rPr>
              <w:t>українська або російська</w:t>
            </w:r>
          </w:p>
        </w:tc>
      </w:tr>
    </w:tbl>
    <w:p w:rsidR="00946640" w:rsidRPr="002D3EC2" w:rsidRDefault="00946640">
      <w:pPr>
        <w:rPr>
          <w:lang w:val="uk-UA"/>
        </w:rPr>
      </w:pPr>
    </w:p>
    <w:sectPr w:rsidR="00946640" w:rsidRPr="002D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F25"/>
    <w:multiLevelType w:val="hybridMultilevel"/>
    <w:tmpl w:val="10B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21621"/>
    <w:multiLevelType w:val="hybridMultilevel"/>
    <w:tmpl w:val="2A22D50E"/>
    <w:lvl w:ilvl="0" w:tplc="097C4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105325"/>
    <w:multiLevelType w:val="hybridMultilevel"/>
    <w:tmpl w:val="EFE02BAA"/>
    <w:lvl w:ilvl="0" w:tplc="359CFEF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2"/>
    <w:rsid w:val="002D3EC2"/>
    <w:rsid w:val="009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3EC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2D3E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3EC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2D3E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2017-04-26T11:14:00Z</cp:lastPrinted>
  <dcterms:created xsi:type="dcterms:W3CDTF">2017-04-26T11:14:00Z</dcterms:created>
  <dcterms:modified xsi:type="dcterms:W3CDTF">2017-04-26T11:15:00Z</dcterms:modified>
</cp:coreProperties>
</file>